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9115A2" w:rsidRPr="000269BB" w:rsidRDefault="00000000">
      <w:pPr>
        <w:pStyle w:val="Ttulo2"/>
        <w:keepNext w:val="0"/>
        <w:keepLines w:val="0"/>
        <w:spacing w:after="200" w:line="360" w:lineRule="auto"/>
        <w:jc w:val="center"/>
        <w:rPr>
          <w:rFonts w:eastAsia="Roboto"/>
          <w:b/>
          <w:sz w:val="24"/>
          <w:szCs w:val="24"/>
        </w:rPr>
      </w:pPr>
      <w:bookmarkStart w:id="0" w:name="_lsq1uacqxrv0" w:colFirst="0" w:colLast="0"/>
      <w:bookmarkEnd w:id="0"/>
      <w:r w:rsidRPr="000269BB">
        <w:rPr>
          <w:rFonts w:eastAsia="Roboto"/>
          <w:b/>
          <w:sz w:val="24"/>
          <w:szCs w:val="24"/>
        </w:rPr>
        <w:t>RECURSO DE REVISIÓN EN MATERIA DE ACCESO A LA INFORMACIÓN PÚBLICA</w:t>
      </w:r>
    </w:p>
    <w:p w14:paraId="01FA1FA6" w14:textId="77777777" w:rsidR="001C6158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El </w:t>
      </w:r>
      <w:r w:rsidRPr="000269BB">
        <w:rPr>
          <w:rFonts w:eastAsia="Roboto"/>
          <w:b/>
          <w:sz w:val="24"/>
          <w:szCs w:val="24"/>
        </w:rPr>
        <w:t>Recurso de Revisión</w:t>
      </w:r>
      <w:r w:rsidRPr="000269BB">
        <w:rPr>
          <w:rFonts w:eastAsia="Roboto"/>
          <w:sz w:val="24"/>
          <w:szCs w:val="24"/>
        </w:rPr>
        <w:t xml:space="preserve"> es el </w:t>
      </w:r>
      <w:r w:rsidRPr="000269BB">
        <w:rPr>
          <w:rFonts w:eastAsia="Roboto"/>
          <w:b/>
          <w:sz w:val="24"/>
          <w:szCs w:val="24"/>
        </w:rPr>
        <w:t>medio de impugnación</w:t>
      </w:r>
      <w:r w:rsidRPr="000269BB">
        <w:rPr>
          <w:rFonts w:eastAsia="Roboto"/>
          <w:sz w:val="24"/>
          <w:szCs w:val="24"/>
        </w:rPr>
        <w:t xml:space="preserve"> que tiene cualquier persona para </w:t>
      </w:r>
      <w:r w:rsidRPr="000269BB">
        <w:rPr>
          <w:rFonts w:eastAsia="Roboto"/>
          <w:b/>
          <w:sz w:val="24"/>
          <w:szCs w:val="24"/>
        </w:rPr>
        <w:t>manifestar su inconformidad</w:t>
      </w:r>
      <w:r w:rsidRPr="000269BB">
        <w:rPr>
          <w:rFonts w:eastAsia="Roboto"/>
          <w:sz w:val="24"/>
          <w:szCs w:val="24"/>
        </w:rPr>
        <w:t xml:space="preserve"> con la respuesta otorgada por un </w:t>
      </w:r>
      <w:r w:rsidRPr="000269BB">
        <w:rPr>
          <w:rFonts w:eastAsia="Roboto"/>
          <w:b/>
          <w:sz w:val="24"/>
          <w:szCs w:val="24"/>
        </w:rPr>
        <w:t>sujeto obligado</w:t>
      </w:r>
      <w:r w:rsidRPr="000269BB">
        <w:rPr>
          <w:rFonts w:eastAsia="Roboto"/>
          <w:sz w:val="24"/>
          <w:szCs w:val="24"/>
        </w:rPr>
        <w:t xml:space="preserve"> a una solicitud de acceso a la información pública o por la </w:t>
      </w:r>
      <w:r w:rsidRPr="000269BB">
        <w:rPr>
          <w:rFonts w:eastAsia="Roboto"/>
          <w:b/>
          <w:sz w:val="24"/>
          <w:szCs w:val="24"/>
        </w:rPr>
        <w:t>falta de respuesta</w:t>
      </w:r>
      <w:r w:rsidRPr="000269BB">
        <w:rPr>
          <w:rFonts w:eastAsia="Roboto"/>
          <w:sz w:val="24"/>
          <w:szCs w:val="24"/>
        </w:rPr>
        <w:t xml:space="preserve"> en el plazo legalmente establecido.</w:t>
      </w:r>
      <w:r w:rsidRPr="000269BB">
        <w:rPr>
          <w:rFonts w:eastAsia="Roboto"/>
          <w:sz w:val="24"/>
          <w:szCs w:val="24"/>
        </w:rPr>
        <w:br/>
      </w:r>
    </w:p>
    <w:p w14:paraId="00000002" w14:textId="13E2E1B9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Este procedimiento está regulado en el </w:t>
      </w:r>
      <w:r w:rsidRPr="000269BB">
        <w:rPr>
          <w:rFonts w:eastAsia="Roboto"/>
          <w:b/>
          <w:sz w:val="24"/>
          <w:szCs w:val="24"/>
        </w:rPr>
        <w:t>Título Octavo, Capítulo I</w:t>
      </w:r>
      <w:r w:rsidRPr="000269BB">
        <w:rPr>
          <w:rFonts w:eastAsia="Roboto"/>
          <w:sz w:val="24"/>
          <w:szCs w:val="24"/>
        </w:rPr>
        <w:t xml:space="preserve"> de la </w:t>
      </w:r>
      <w:r w:rsidRPr="000269BB">
        <w:rPr>
          <w:rFonts w:eastAsia="Roboto"/>
          <w:b/>
          <w:sz w:val="24"/>
          <w:szCs w:val="24"/>
        </w:rPr>
        <w:t>Ley de Transparencia y Acceso a la Información Pública del Estado de Puebla (LTAIPEP)</w:t>
      </w:r>
      <w:r w:rsidR="00BE1017" w:rsidRPr="000269BB">
        <w:rPr>
          <w:rFonts w:eastAsia="Roboto"/>
          <w:sz w:val="24"/>
          <w:szCs w:val="24"/>
        </w:rPr>
        <w:t>.</w:t>
      </w:r>
      <w:r w:rsidRPr="000269BB">
        <w:rPr>
          <w:rFonts w:eastAsia="Roboto"/>
          <w:sz w:val="24"/>
          <w:szCs w:val="24"/>
        </w:rPr>
        <w:t xml:space="preserve"> </w:t>
      </w:r>
    </w:p>
    <w:p w14:paraId="5FBB0CEE" w14:textId="77777777" w:rsidR="001C6158" w:rsidRPr="000269BB" w:rsidRDefault="001C6158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</w:p>
    <w:p w14:paraId="00000003" w14:textId="77777777" w:rsidR="009115A2" w:rsidRPr="000269BB" w:rsidRDefault="00000000">
      <w:pPr>
        <w:pStyle w:val="Ttulo3"/>
        <w:keepNext w:val="0"/>
        <w:keepLines w:val="0"/>
        <w:spacing w:before="280" w:after="200" w:line="360" w:lineRule="auto"/>
        <w:jc w:val="center"/>
        <w:rPr>
          <w:rFonts w:eastAsia="Roboto"/>
          <w:b/>
          <w:color w:val="000000"/>
          <w:sz w:val="24"/>
          <w:szCs w:val="24"/>
        </w:rPr>
      </w:pPr>
      <w:bookmarkStart w:id="1" w:name="_xqo9ix7829gi" w:colFirst="0" w:colLast="0"/>
      <w:bookmarkEnd w:id="1"/>
      <w:r w:rsidRPr="000269BB">
        <w:rPr>
          <w:rFonts w:eastAsia="Roboto"/>
          <w:b/>
          <w:color w:val="000000"/>
          <w:sz w:val="24"/>
          <w:szCs w:val="24"/>
        </w:rPr>
        <w:t>¿QUIÉN PUEDE PRESENTAR EL RECURSO?</w:t>
      </w:r>
    </w:p>
    <w:p w14:paraId="419114D5" w14:textId="083B7872" w:rsidR="009E2FD9" w:rsidRPr="000269BB" w:rsidRDefault="009E2FD9" w:rsidP="009E2FD9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La persona solicitante podrá interponer, por sí mismo o por conducto de su representante, un recurso de revisión ante la autoridad garante que corresponda, en el caso de </w:t>
      </w:r>
      <w:r w:rsidRPr="000269BB">
        <w:rPr>
          <w:rFonts w:eastAsia="Roboto"/>
          <w:b/>
          <w:sz w:val="24"/>
          <w:szCs w:val="24"/>
        </w:rPr>
        <w:t xml:space="preserve">Transparencia para Puebla y sus Municipios, es competente para conocer </w:t>
      </w:r>
      <w:r w:rsidR="001C6158" w:rsidRPr="000269BB">
        <w:rPr>
          <w:rFonts w:eastAsia="Roboto"/>
          <w:b/>
          <w:sz w:val="24"/>
          <w:szCs w:val="24"/>
        </w:rPr>
        <w:t xml:space="preserve">respecto </w:t>
      </w:r>
      <w:r w:rsidRPr="000269BB">
        <w:rPr>
          <w:rFonts w:eastAsia="Roboto"/>
          <w:b/>
          <w:sz w:val="24"/>
          <w:szCs w:val="24"/>
        </w:rPr>
        <w:t xml:space="preserve">de los sujetos obligados </w:t>
      </w:r>
      <w:r w:rsidRPr="000269BB">
        <w:rPr>
          <w:rFonts w:eastAsia="Roboto"/>
          <w:bCs/>
          <w:sz w:val="24"/>
          <w:szCs w:val="24"/>
        </w:rPr>
        <w:t xml:space="preserve">que </w:t>
      </w:r>
      <w:r w:rsidR="00EC26E5" w:rsidRPr="000269BB">
        <w:rPr>
          <w:rFonts w:eastAsia="Roboto"/>
          <w:sz w:val="24"/>
          <w:szCs w:val="24"/>
        </w:rPr>
        <w:t>comprende</w:t>
      </w:r>
      <w:r w:rsidR="00EC26E5" w:rsidRPr="000269BB">
        <w:rPr>
          <w:rFonts w:eastAsia="Roboto"/>
          <w:bCs/>
          <w:sz w:val="24"/>
          <w:szCs w:val="24"/>
        </w:rPr>
        <w:t xml:space="preserve"> e</w:t>
      </w:r>
      <w:r w:rsidRPr="000269BB">
        <w:rPr>
          <w:rFonts w:eastAsia="Roboto"/>
          <w:sz w:val="24"/>
          <w:szCs w:val="24"/>
        </w:rPr>
        <w:t>l artículo 3 de la LTAIPEP,</w:t>
      </w:r>
      <w:r w:rsidR="00EC26E5" w:rsidRPr="000269BB">
        <w:rPr>
          <w:rFonts w:eastAsia="Roboto"/>
          <w:sz w:val="24"/>
          <w:szCs w:val="24"/>
        </w:rPr>
        <w:t xml:space="preserve"> específicamente</w:t>
      </w:r>
      <w:r w:rsidRPr="000269BB">
        <w:rPr>
          <w:rFonts w:eastAsia="Roboto"/>
          <w:sz w:val="24"/>
          <w:szCs w:val="24"/>
        </w:rPr>
        <w:t>:</w:t>
      </w:r>
    </w:p>
    <w:p w14:paraId="75D903BF" w14:textId="221DCCF3" w:rsidR="009E2FD9" w:rsidRPr="000269BB" w:rsidRDefault="009E2FD9" w:rsidP="009E2FD9">
      <w:pPr>
        <w:numPr>
          <w:ilvl w:val="0"/>
          <w:numId w:val="3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>El Poder Ejecutivo;</w:t>
      </w:r>
    </w:p>
    <w:p w14:paraId="2171A475" w14:textId="77777777" w:rsidR="009E2FD9" w:rsidRPr="000269BB" w:rsidRDefault="009E2FD9" w:rsidP="009E2FD9">
      <w:pPr>
        <w:numPr>
          <w:ilvl w:val="0"/>
          <w:numId w:val="3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>Los Ayuntamientos;</w:t>
      </w:r>
    </w:p>
    <w:p w14:paraId="1FBEEFE7" w14:textId="77777777" w:rsidR="009E2FD9" w:rsidRPr="000269BB" w:rsidRDefault="009E2FD9" w:rsidP="009E2FD9">
      <w:pPr>
        <w:numPr>
          <w:ilvl w:val="0"/>
          <w:numId w:val="3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>Los fideicomisos y fondos públicos, y</w:t>
      </w:r>
    </w:p>
    <w:p w14:paraId="7B062AC2" w14:textId="6EC42F4E" w:rsidR="009E2FD9" w:rsidRPr="000269BB" w:rsidRDefault="009E2FD9" w:rsidP="009E2FD9">
      <w:pPr>
        <w:numPr>
          <w:ilvl w:val="0"/>
          <w:numId w:val="3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Cualquier persona física, moral que reciba o ejerza recursos públicos, o realice actos de autoridad en el Estado y sus </w:t>
      </w:r>
      <w:r w:rsidR="00944A2B">
        <w:rPr>
          <w:rFonts w:eastAsia="Roboto"/>
          <w:sz w:val="24"/>
          <w:szCs w:val="24"/>
        </w:rPr>
        <w:t>M</w:t>
      </w:r>
      <w:r w:rsidRPr="000269BB">
        <w:rPr>
          <w:rFonts w:eastAsia="Roboto"/>
          <w:sz w:val="24"/>
          <w:szCs w:val="24"/>
        </w:rPr>
        <w:t>unicipios.</w:t>
      </w:r>
      <w:r w:rsidRPr="000269BB">
        <w:rPr>
          <w:rFonts w:eastAsia="Roboto"/>
          <w:sz w:val="24"/>
          <w:szCs w:val="24"/>
        </w:rPr>
        <w:br/>
      </w:r>
    </w:p>
    <w:p w14:paraId="0000000A" w14:textId="77777777" w:rsidR="009115A2" w:rsidRPr="000269BB" w:rsidRDefault="00000000">
      <w:pPr>
        <w:pStyle w:val="Ttulo3"/>
        <w:keepNext w:val="0"/>
        <w:keepLines w:val="0"/>
        <w:spacing w:before="280" w:after="200" w:line="360" w:lineRule="auto"/>
        <w:jc w:val="center"/>
        <w:rPr>
          <w:rFonts w:eastAsia="Roboto"/>
          <w:b/>
          <w:color w:val="000000"/>
          <w:sz w:val="24"/>
          <w:szCs w:val="24"/>
        </w:rPr>
      </w:pPr>
      <w:bookmarkStart w:id="2" w:name="_b8qw14kg66j" w:colFirst="0" w:colLast="0"/>
      <w:bookmarkEnd w:id="2"/>
      <w:r w:rsidRPr="000269BB">
        <w:rPr>
          <w:rFonts w:eastAsia="Roboto"/>
          <w:b/>
          <w:color w:val="000000"/>
          <w:sz w:val="24"/>
          <w:szCs w:val="24"/>
        </w:rPr>
        <w:t>¿CUÁNDO PROCEDE EL RECURSO DE REVISIÓN?</w:t>
      </w:r>
    </w:p>
    <w:p w14:paraId="0000000B" w14:textId="77777777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De conformidad con el </w:t>
      </w:r>
      <w:bookmarkStart w:id="3" w:name="_Hlk210812688"/>
      <w:r w:rsidRPr="000269BB">
        <w:rPr>
          <w:rFonts w:eastAsia="Roboto"/>
          <w:b/>
          <w:sz w:val="24"/>
          <w:szCs w:val="24"/>
        </w:rPr>
        <w:t>artículo 153 de la LTAIPEP</w:t>
      </w:r>
      <w:bookmarkEnd w:id="3"/>
      <w:r w:rsidRPr="000269BB">
        <w:rPr>
          <w:rFonts w:eastAsia="Roboto"/>
          <w:sz w:val="24"/>
          <w:szCs w:val="24"/>
        </w:rPr>
        <w:t>, el recurso procede en los siguientes casos:</w:t>
      </w:r>
    </w:p>
    <w:p w14:paraId="0000000C" w14:textId="77777777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b/>
          <w:sz w:val="24"/>
          <w:szCs w:val="24"/>
        </w:rPr>
        <w:lastRenderedPageBreak/>
        <w:t>I.</w:t>
      </w:r>
      <w:r w:rsidRPr="000269BB">
        <w:rPr>
          <w:rFonts w:eastAsia="Roboto"/>
          <w:sz w:val="24"/>
          <w:szCs w:val="24"/>
        </w:rPr>
        <w:t xml:space="preserve"> La clasificación de la información;</w:t>
      </w:r>
    </w:p>
    <w:p w14:paraId="0000000D" w14:textId="77777777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b/>
          <w:sz w:val="24"/>
          <w:szCs w:val="24"/>
        </w:rPr>
        <w:t>II.</w:t>
      </w:r>
      <w:r w:rsidRPr="000269BB">
        <w:rPr>
          <w:rFonts w:eastAsia="Roboto"/>
          <w:sz w:val="24"/>
          <w:szCs w:val="24"/>
        </w:rPr>
        <w:t xml:space="preserve"> La declaración de inexistencia de información;</w:t>
      </w:r>
    </w:p>
    <w:p w14:paraId="0000000E" w14:textId="77777777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b/>
          <w:sz w:val="24"/>
          <w:szCs w:val="24"/>
        </w:rPr>
        <w:t>III.</w:t>
      </w:r>
      <w:r w:rsidRPr="000269BB">
        <w:rPr>
          <w:rFonts w:eastAsia="Roboto"/>
          <w:sz w:val="24"/>
          <w:szCs w:val="24"/>
        </w:rPr>
        <w:t xml:space="preserve"> La declaración de incompetencia por el sujeto obligado;</w:t>
      </w:r>
    </w:p>
    <w:p w14:paraId="0000000F" w14:textId="77777777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b/>
          <w:sz w:val="24"/>
          <w:szCs w:val="24"/>
        </w:rPr>
        <w:t>IV.</w:t>
      </w:r>
      <w:r w:rsidRPr="000269BB">
        <w:rPr>
          <w:rFonts w:eastAsia="Roboto"/>
          <w:sz w:val="24"/>
          <w:szCs w:val="24"/>
        </w:rPr>
        <w:t xml:space="preserve"> La entrega de información incompleta;</w:t>
      </w:r>
    </w:p>
    <w:p w14:paraId="00000010" w14:textId="77777777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b/>
          <w:sz w:val="24"/>
          <w:szCs w:val="24"/>
        </w:rPr>
        <w:t xml:space="preserve">V. </w:t>
      </w:r>
      <w:r w:rsidRPr="000269BB">
        <w:rPr>
          <w:rFonts w:eastAsia="Roboto"/>
          <w:sz w:val="24"/>
          <w:szCs w:val="24"/>
        </w:rPr>
        <w:t>La entrega de información que no corresponda con lo solicitado;</w:t>
      </w:r>
    </w:p>
    <w:p w14:paraId="00000011" w14:textId="77777777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b/>
          <w:sz w:val="24"/>
          <w:szCs w:val="24"/>
        </w:rPr>
        <w:t>VI.</w:t>
      </w:r>
      <w:r w:rsidRPr="000269BB">
        <w:rPr>
          <w:rFonts w:eastAsia="Roboto"/>
          <w:sz w:val="24"/>
          <w:szCs w:val="24"/>
        </w:rPr>
        <w:t xml:space="preserve"> La falta de respuesta a una solicitud de acceso a la información dentro de los plazos establecidos en la Ley;</w:t>
      </w:r>
    </w:p>
    <w:p w14:paraId="00000012" w14:textId="77777777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b/>
          <w:sz w:val="24"/>
          <w:szCs w:val="24"/>
        </w:rPr>
        <w:t>VII.</w:t>
      </w:r>
      <w:r w:rsidRPr="000269BB">
        <w:rPr>
          <w:rFonts w:eastAsia="Roboto"/>
          <w:sz w:val="24"/>
          <w:szCs w:val="24"/>
        </w:rPr>
        <w:t xml:space="preserve"> La notificación, entrega o puesta a disposición de información en una modalidad o formato distinto al solicitado;</w:t>
      </w:r>
    </w:p>
    <w:p w14:paraId="00000013" w14:textId="77777777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b/>
          <w:sz w:val="24"/>
          <w:szCs w:val="24"/>
        </w:rPr>
        <w:t>VIII.</w:t>
      </w:r>
      <w:r w:rsidRPr="000269BB">
        <w:rPr>
          <w:rFonts w:eastAsia="Roboto"/>
          <w:sz w:val="24"/>
          <w:szCs w:val="24"/>
        </w:rPr>
        <w:t xml:space="preserve"> La entrega o puesta a disposición de información en un formato incomprensible y/o no accesible para la persona solicitante;</w:t>
      </w:r>
    </w:p>
    <w:p w14:paraId="00000014" w14:textId="77777777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b/>
          <w:sz w:val="24"/>
          <w:szCs w:val="24"/>
        </w:rPr>
        <w:t>IX.</w:t>
      </w:r>
      <w:r w:rsidRPr="000269BB">
        <w:rPr>
          <w:rFonts w:eastAsia="Roboto"/>
          <w:sz w:val="24"/>
          <w:szCs w:val="24"/>
        </w:rPr>
        <w:t xml:space="preserve"> Los costos o tiempos de entrega de la información;</w:t>
      </w:r>
    </w:p>
    <w:p w14:paraId="00000015" w14:textId="77777777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b/>
          <w:sz w:val="24"/>
          <w:szCs w:val="24"/>
        </w:rPr>
        <w:t>X.</w:t>
      </w:r>
      <w:r w:rsidRPr="000269BB">
        <w:rPr>
          <w:rFonts w:eastAsia="Roboto"/>
          <w:sz w:val="24"/>
          <w:szCs w:val="24"/>
        </w:rPr>
        <w:t xml:space="preserve"> La falta de trámite a una solicitud;</w:t>
      </w:r>
    </w:p>
    <w:p w14:paraId="00000016" w14:textId="77777777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b/>
          <w:sz w:val="24"/>
          <w:szCs w:val="24"/>
        </w:rPr>
        <w:t>XI.</w:t>
      </w:r>
      <w:r w:rsidRPr="000269BB">
        <w:rPr>
          <w:rFonts w:eastAsia="Roboto"/>
          <w:sz w:val="24"/>
          <w:szCs w:val="24"/>
        </w:rPr>
        <w:t xml:space="preserve"> La negativa a permitir la consulta directa de la información;</w:t>
      </w:r>
    </w:p>
    <w:p w14:paraId="00000017" w14:textId="77777777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b/>
          <w:sz w:val="24"/>
          <w:szCs w:val="24"/>
        </w:rPr>
        <w:t xml:space="preserve">XII. </w:t>
      </w:r>
      <w:r w:rsidRPr="000269BB">
        <w:rPr>
          <w:rFonts w:eastAsia="Roboto"/>
          <w:sz w:val="24"/>
          <w:szCs w:val="24"/>
        </w:rPr>
        <w:t>La falta, deficiencia o insuficiencia de la fundamentación y/o motivación en la respuesta, y</w:t>
      </w:r>
    </w:p>
    <w:p w14:paraId="00000018" w14:textId="77777777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b/>
          <w:sz w:val="24"/>
          <w:szCs w:val="24"/>
        </w:rPr>
        <w:t xml:space="preserve">XIII. </w:t>
      </w:r>
      <w:r w:rsidRPr="000269BB">
        <w:rPr>
          <w:rFonts w:eastAsia="Roboto"/>
          <w:sz w:val="24"/>
          <w:szCs w:val="24"/>
        </w:rPr>
        <w:t>La orientación a un trámite específico.</w:t>
      </w:r>
    </w:p>
    <w:p w14:paraId="00000019" w14:textId="23161BAA" w:rsidR="009115A2" w:rsidRPr="000269BB" w:rsidRDefault="00EC26E5" w:rsidP="00EC26E5">
      <w:pPr>
        <w:pStyle w:val="Ttulo3"/>
        <w:keepNext w:val="0"/>
        <w:keepLines w:val="0"/>
        <w:spacing w:before="280" w:after="200" w:line="360" w:lineRule="auto"/>
        <w:jc w:val="center"/>
        <w:rPr>
          <w:rFonts w:eastAsia="Roboto"/>
          <w:b/>
          <w:color w:val="000000"/>
          <w:sz w:val="24"/>
          <w:szCs w:val="24"/>
        </w:rPr>
      </w:pPr>
      <w:bookmarkStart w:id="4" w:name="_pw1mlqz1dyts" w:colFirst="0" w:colLast="0"/>
      <w:bookmarkEnd w:id="4"/>
      <w:r w:rsidRPr="000269BB">
        <w:rPr>
          <w:rFonts w:eastAsia="Roboto"/>
          <w:b/>
          <w:color w:val="000000"/>
          <w:sz w:val="24"/>
          <w:szCs w:val="24"/>
        </w:rPr>
        <w:t>¿DÓNDE Y CÓMO SE PRESENTA EL RECURSO DE REVISIÓN?</w:t>
      </w:r>
    </w:p>
    <w:p w14:paraId="1158D11E" w14:textId="7D121595" w:rsidR="00EC26E5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El recurso </w:t>
      </w:r>
      <w:r w:rsidR="00EC26E5" w:rsidRPr="000269BB">
        <w:rPr>
          <w:rFonts w:eastAsia="Roboto"/>
          <w:sz w:val="24"/>
          <w:szCs w:val="24"/>
        </w:rPr>
        <w:t xml:space="preserve">debe presentarse dentro del plazo de </w:t>
      </w:r>
      <w:r w:rsidR="00EC26E5" w:rsidRPr="000269BB">
        <w:rPr>
          <w:rFonts w:eastAsia="Roboto"/>
          <w:b/>
          <w:sz w:val="24"/>
          <w:szCs w:val="24"/>
        </w:rPr>
        <w:t>quince días hábiles</w:t>
      </w:r>
      <w:r w:rsidR="00EC26E5" w:rsidRPr="000269BB">
        <w:rPr>
          <w:rFonts w:eastAsia="Roboto"/>
          <w:sz w:val="24"/>
          <w:szCs w:val="24"/>
        </w:rPr>
        <w:t xml:space="preserve"> siguientes a la notificación de la respuesta o al vencimiento del plazo para recibirla y puede ser </w:t>
      </w:r>
      <w:r w:rsidR="00EC26E5" w:rsidRPr="000269BB">
        <w:rPr>
          <w:rFonts w:eastAsia="Roboto"/>
          <w:b/>
          <w:bCs/>
          <w:sz w:val="24"/>
          <w:szCs w:val="24"/>
        </w:rPr>
        <w:t>ante la autoridad garante</w:t>
      </w:r>
      <w:r w:rsidR="00EC26E5" w:rsidRPr="000269BB">
        <w:rPr>
          <w:rFonts w:eastAsia="Roboto"/>
          <w:sz w:val="24"/>
          <w:szCs w:val="24"/>
        </w:rPr>
        <w:t xml:space="preserve"> </w:t>
      </w:r>
      <w:r w:rsidR="00EC26E5" w:rsidRPr="000269BB">
        <w:rPr>
          <w:rFonts w:eastAsia="Roboto"/>
          <w:b/>
          <w:bCs/>
          <w:sz w:val="24"/>
          <w:szCs w:val="24"/>
        </w:rPr>
        <w:t>o ante la Unidad de Transparencia que haya conocido de la solicitud</w:t>
      </w:r>
      <w:r w:rsidR="0055225B" w:rsidRPr="000269BB">
        <w:rPr>
          <w:rFonts w:eastAsia="Roboto"/>
          <w:b/>
          <w:bCs/>
          <w:sz w:val="24"/>
          <w:szCs w:val="24"/>
        </w:rPr>
        <w:t>,</w:t>
      </w:r>
      <w:r w:rsidR="00EC26E5" w:rsidRPr="000269BB">
        <w:rPr>
          <w:rFonts w:eastAsia="Roboto"/>
          <w:sz w:val="24"/>
          <w:szCs w:val="24"/>
        </w:rPr>
        <w:t xml:space="preserve"> a través de los siguientes </w:t>
      </w:r>
      <w:r w:rsidR="001C6158" w:rsidRPr="000269BB">
        <w:rPr>
          <w:rFonts w:eastAsia="Roboto"/>
          <w:sz w:val="24"/>
          <w:szCs w:val="24"/>
        </w:rPr>
        <w:t xml:space="preserve">medios: </w:t>
      </w:r>
    </w:p>
    <w:p w14:paraId="4CBE9E3F" w14:textId="77777777" w:rsidR="001C6158" w:rsidRPr="000269BB" w:rsidRDefault="00EC26E5" w:rsidP="00EC26E5">
      <w:pPr>
        <w:pStyle w:val="Prrafodelista"/>
        <w:numPr>
          <w:ilvl w:val="0"/>
          <w:numId w:val="4"/>
        </w:numPr>
        <w:spacing w:before="240" w:after="200" w:line="360" w:lineRule="auto"/>
        <w:jc w:val="both"/>
        <w:rPr>
          <w:rFonts w:eastAsia="Roboto"/>
          <w:b/>
          <w:bCs/>
          <w:sz w:val="24"/>
          <w:szCs w:val="24"/>
        </w:rPr>
      </w:pPr>
      <w:r w:rsidRPr="000269BB">
        <w:rPr>
          <w:rFonts w:eastAsia="Roboto"/>
          <w:b/>
          <w:bCs/>
          <w:sz w:val="24"/>
          <w:szCs w:val="24"/>
        </w:rPr>
        <w:t>De manera física.</w:t>
      </w:r>
    </w:p>
    <w:p w14:paraId="38CE5A9E" w14:textId="77777777" w:rsidR="001C6158" w:rsidRPr="000269BB" w:rsidRDefault="00EC26E5" w:rsidP="001C6158">
      <w:pPr>
        <w:pStyle w:val="Prrafodelista"/>
        <w:numPr>
          <w:ilvl w:val="1"/>
          <w:numId w:val="4"/>
        </w:numPr>
        <w:spacing w:before="240" w:after="200" w:line="360" w:lineRule="auto"/>
        <w:jc w:val="both"/>
        <w:rPr>
          <w:rFonts w:eastAsia="Roboto"/>
          <w:b/>
          <w:bCs/>
          <w:sz w:val="24"/>
          <w:szCs w:val="24"/>
        </w:rPr>
      </w:pPr>
      <w:r w:rsidRPr="000269BB">
        <w:rPr>
          <w:rFonts w:eastAsia="Roboto"/>
          <w:sz w:val="24"/>
          <w:szCs w:val="24"/>
        </w:rPr>
        <w:t>A través del formato que se anexa</w:t>
      </w:r>
      <w:r w:rsidR="001C6158" w:rsidRPr="000269BB">
        <w:rPr>
          <w:rFonts w:eastAsia="Roboto"/>
          <w:sz w:val="24"/>
          <w:szCs w:val="24"/>
        </w:rPr>
        <w:t>.</w:t>
      </w:r>
    </w:p>
    <w:p w14:paraId="4F8B4BF9" w14:textId="7D9656EA" w:rsidR="00EC26E5" w:rsidRPr="000269BB" w:rsidRDefault="001C6158" w:rsidP="001C6158">
      <w:pPr>
        <w:pStyle w:val="Prrafodelista"/>
        <w:numPr>
          <w:ilvl w:val="1"/>
          <w:numId w:val="4"/>
        </w:numPr>
        <w:spacing w:before="240" w:after="200" w:line="360" w:lineRule="auto"/>
        <w:jc w:val="both"/>
        <w:rPr>
          <w:rFonts w:eastAsia="Roboto"/>
          <w:b/>
          <w:bCs/>
          <w:sz w:val="24"/>
          <w:szCs w:val="24"/>
        </w:rPr>
      </w:pPr>
      <w:r w:rsidRPr="000269BB">
        <w:rPr>
          <w:rFonts w:eastAsia="Roboto"/>
          <w:sz w:val="24"/>
          <w:szCs w:val="24"/>
        </w:rPr>
        <w:lastRenderedPageBreak/>
        <w:t>E</w:t>
      </w:r>
      <w:r w:rsidR="00EC26E5" w:rsidRPr="000269BB">
        <w:rPr>
          <w:rFonts w:eastAsia="Roboto"/>
          <w:sz w:val="24"/>
          <w:szCs w:val="24"/>
        </w:rPr>
        <w:t xml:space="preserve">scrito libre cumpliendo los requisitos señalados en el </w:t>
      </w:r>
      <w:r w:rsidR="00EC26E5" w:rsidRPr="000269BB">
        <w:rPr>
          <w:rFonts w:eastAsia="Roboto"/>
          <w:b/>
          <w:sz w:val="24"/>
          <w:szCs w:val="24"/>
        </w:rPr>
        <w:t>artículo 154 de la LTAIPEP</w:t>
      </w:r>
      <w:r w:rsidR="00EC26E5" w:rsidRPr="000269BB">
        <w:rPr>
          <w:rFonts w:eastAsia="Roboto"/>
          <w:sz w:val="24"/>
          <w:szCs w:val="24"/>
        </w:rPr>
        <w:t>.</w:t>
      </w:r>
    </w:p>
    <w:p w14:paraId="2559B9FA" w14:textId="456C912A" w:rsidR="001C6158" w:rsidRPr="00940946" w:rsidRDefault="00940946" w:rsidP="00940946">
      <w:pPr>
        <w:spacing w:before="240" w:after="200" w:line="360" w:lineRule="auto"/>
        <w:jc w:val="both"/>
        <w:rPr>
          <w:rFonts w:eastAsia="Roboto"/>
          <w:b/>
          <w:bCs/>
          <w:sz w:val="24"/>
          <w:szCs w:val="24"/>
        </w:rPr>
      </w:pPr>
      <w:r w:rsidRPr="00940946">
        <w:rPr>
          <w:rFonts w:eastAsia="Roboto"/>
          <w:b/>
          <w:bCs/>
          <w:sz w:val="24"/>
          <w:szCs w:val="24"/>
        </w:rPr>
        <w:t>En el domicilio de</w:t>
      </w:r>
      <w:r>
        <w:rPr>
          <w:rFonts w:eastAsia="Roboto"/>
          <w:b/>
          <w:bCs/>
          <w:sz w:val="24"/>
          <w:szCs w:val="24"/>
        </w:rPr>
        <w:t xml:space="preserve"> </w:t>
      </w:r>
      <w:r w:rsidRPr="00940946">
        <w:rPr>
          <w:rFonts w:eastAsia="Roboto"/>
          <w:b/>
          <w:bCs/>
          <w:sz w:val="24"/>
          <w:szCs w:val="24"/>
        </w:rPr>
        <w:t xml:space="preserve">Transparencia para Puebla y sus Municipios, </w:t>
      </w:r>
      <w:r>
        <w:rPr>
          <w:rFonts w:eastAsia="Roboto"/>
          <w:b/>
          <w:bCs/>
          <w:sz w:val="24"/>
          <w:szCs w:val="24"/>
        </w:rPr>
        <w:t xml:space="preserve">5 oriente 201, Colonia Centro, C.P. 74325, </w:t>
      </w:r>
      <w:r w:rsidRPr="00940946">
        <w:rPr>
          <w:rFonts w:eastAsia="Roboto"/>
          <w:b/>
          <w:bCs/>
          <w:sz w:val="24"/>
          <w:szCs w:val="24"/>
        </w:rPr>
        <w:t>con un horario de recepción que comprende de lunes a viernes, de las 9:00 a 15:00 y de 16:00 a 18:00 horas.</w:t>
      </w:r>
    </w:p>
    <w:p w14:paraId="3FA37E48" w14:textId="77777777" w:rsidR="001C6158" w:rsidRPr="000269BB" w:rsidRDefault="00EC26E5" w:rsidP="001C6158">
      <w:pPr>
        <w:pStyle w:val="Prrafodelista"/>
        <w:numPr>
          <w:ilvl w:val="0"/>
          <w:numId w:val="4"/>
        </w:numPr>
        <w:spacing w:before="240" w:after="200" w:line="360" w:lineRule="auto"/>
        <w:jc w:val="both"/>
        <w:rPr>
          <w:rFonts w:eastAsia="Roboto"/>
          <w:b/>
          <w:bCs/>
          <w:sz w:val="24"/>
          <w:szCs w:val="24"/>
        </w:rPr>
      </w:pPr>
      <w:r w:rsidRPr="000269BB">
        <w:rPr>
          <w:rFonts w:eastAsia="Roboto"/>
          <w:b/>
          <w:bCs/>
          <w:sz w:val="24"/>
          <w:szCs w:val="24"/>
        </w:rPr>
        <w:t>Por medios electrónicos.</w:t>
      </w:r>
    </w:p>
    <w:p w14:paraId="0000001C" w14:textId="50602966" w:rsidR="009115A2" w:rsidRPr="000269BB" w:rsidRDefault="001C6158" w:rsidP="001C6158">
      <w:pPr>
        <w:pStyle w:val="Prrafodelista"/>
        <w:numPr>
          <w:ilvl w:val="1"/>
          <w:numId w:val="4"/>
        </w:numPr>
        <w:spacing w:before="240" w:after="200" w:line="360" w:lineRule="auto"/>
        <w:jc w:val="both"/>
        <w:rPr>
          <w:rFonts w:eastAsia="Roboto"/>
          <w:b/>
          <w:bCs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A través de la Plataforma Nacional de Transparencia, generando un USUARIO y CONTRASEÑA, y en el mismo sistema se le indicará los pasos a seguir para </w:t>
      </w:r>
      <w:r w:rsidR="00944A2B">
        <w:rPr>
          <w:rFonts w:eastAsia="Roboto"/>
          <w:sz w:val="24"/>
          <w:szCs w:val="24"/>
        </w:rPr>
        <w:t>ejercer</w:t>
      </w:r>
      <w:r w:rsidRPr="000269BB">
        <w:rPr>
          <w:rFonts w:eastAsia="Roboto"/>
          <w:sz w:val="24"/>
          <w:szCs w:val="24"/>
        </w:rPr>
        <w:t xml:space="preserve"> a cabo su derecho de acceso a la información pública, así como su derecho de recurrir la información que proporcione el sujeto obligado.</w:t>
      </w:r>
    </w:p>
    <w:p w14:paraId="249293F6" w14:textId="001D7656" w:rsidR="001C6158" w:rsidRPr="000269BB" w:rsidRDefault="001C6158" w:rsidP="001C6158">
      <w:pPr>
        <w:pStyle w:val="Prrafodelista"/>
        <w:numPr>
          <w:ilvl w:val="1"/>
          <w:numId w:val="4"/>
        </w:numPr>
        <w:spacing w:before="240" w:after="200" w:line="360" w:lineRule="auto"/>
        <w:jc w:val="both"/>
        <w:rPr>
          <w:rFonts w:eastAsia="Roboto"/>
          <w:sz w:val="24"/>
          <w:szCs w:val="24"/>
          <w:lang w:val="es-MX"/>
        </w:rPr>
      </w:pPr>
      <w:r w:rsidRPr="000269BB">
        <w:rPr>
          <w:rFonts w:eastAsia="Roboto"/>
          <w:sz w:val="24"/>
          <w:szCs w:val="24"/>
        </w:rPr>
        <w:t xml:space="preserve">A través del </w:t>
      </w:r>
      <w:hyperlink r:id="rId5" w:tgtFrame="_blank;" w:history="1">
        <w:r w:rsidRPr="000269BB">
          <w:rPr>
            <w:rStyle w:val="Hipervnculo"/>
            <w:rFonts w:eastAsia="Roboto"/>
            <w:sz w:val="24"/>
            <w:szCs w:val="24"/>
            <w:lang w:val="es-MX"/>
          </w:rPr>
          <w:t>Formulario digital para la recepción de Recursos de Revisión.</w:t>
        </w:r>
      </w:hyperlink>
      <w:r w:rsidRPr="000269BB">
        <w:rPr>
          <w:rFonts w:eastAsia="Roboto"/>
          <w:sz w:val="24"/>
          <w:szCs w:val="24"/>
        </w:rPr>
        <w:t xml:space="preserve"> (que se puede dar clic sobre el hipervínculo)</w:t>
      </w:r>
    </w:p>
    <w:p w14:paraId="0000001D" w14:textId="6FA7F05B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Cuando el recurso sea promovido por una persona con discapacidad o hablante de lengua indígena, se procurará proporcionarle gratuitamente </w:t>
      </w:r>
      <w:r w:rsidRPr="000269BB">
        <w:rPr>
          <w:rFonts w:eastAsia="Roboto"/>
          <w:b/>
          <w:sz w:val="24"/>
          <w:szCs w:val="24"/>
        </w:rPr>
        <w:t>intérprete o traductor</w:t>
      </w:r>
      <w:r w:rsidRPr="000269BB">
        <w:rPr>
          <w:rFonts w:eastAsia="Roboto"/>
          <w:sz w:val="24"/>
          <w:szCs w:val="24"/>
        </w:rPr>
        <w:t>, así como</w:t>
      </w:r>
      <w:r w:rsidR="00944A2B">
        <w:rPr>
          <w:rFonts w:eastAsia="Roboto"/>
          <w:sz w:val="24"/>
          <w:szCs w:val="24"/>
        </w:rPr>
        <w:t xml:space="preserve"> los</w:t>
      </w:r>
      <w:r w:rsidRPr="000269BB">
        <w:rPr>
          <w:rFonts w:eastAsia="Roboto"/>
          <w:sz w:val="24"/>
          <w:szCs w:val="24"/>
        </w:rPr>
        <w:t xml:space="preserve"> ajustes razonables que garanticen el ejercicio efectivo del derecho de acceso a la información.</w:t>
      </w:r>
    </w:p>
    <w:p w14:paraId="7A377B5C" w14:textId="77777777" w:rsidR="00EC26E5" w:rsidRPr="000269BB" w:rsidRDefault="00EC26E5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</w:p>
    <w:p w14:paraId="0000001E" w14:textId="77777777" w:rsidR="009115A2" w:rsidRPr="000269BB" w:rsidRDefault="00000000">
      <w:pPr>
        <w:pStyle w:val="Ttulo3"/>
        <w:keepNext w:val="0"/>
        <w:keepLines w:val="0"/>
        <w:spacing w:before="280" w:after="200" w:line="360" w:lineRule="auto"/>
        <w:jc w:val="center"/>
        <w:rPr>
          <w:rFonts w:eastAsia="Roboto"/>
          <w:b/>
          <w:color w:val="000000"/>
          <w:sz w:val="24"/>
          <w:szCs w:val="24"/>
        </w:rPr>
      </w:pPr>
      <w:bookmarkStart w:id="5" w:name="_lmy3wlawd6zo" w:colFirst="0" w:colLast="0"/>
      <w:bookmarkEnd w:id="5"/>
      <w:r w:rsidRPr="000269BB">
        <w:rPr>
          <w:rFonts w:eastAsia="Roboto"/>
          <w:b/>
          <w:color w:val="000000"/>
          <w:sz w:val="24"/>
          <w:szCs w:val="24"/>
        </w:rPr>
        <w:t>DESARROLLO DEL PROCEDIMIENTO</w:t>
      </w:r>
    </w:p>
    <w:p w14:paraId="391529EB" w14:textId="77777777" w:rsidR="009E72C6" w:rsidRPr="000269BB" w:rsidRDefault="009E72C6" w:rsidP="009E72C6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El procedimiento se rige por los principios de </w:t>
      </w:r>
      <w:r w:rsidRPr="000269BB">
        <w:rPr>
          <w:rFonts w:eastAsia="Roboto"/>
          <w:b/>
          <w:sz w:val="24"/>
          <w:szCs w:val="24"/>
        </w:rPr>
        <w:t>gratuidad</w:t>
      </w:r>
      <w:r w:rsidRPr="000269BB">
        <w:rPr>
          <w:rFonts w:eastAsia="Roboto"/>
          <w:sz w:val="24"/>
          <w:szCs w:val="24"/>
        </w:rPr>
        <w:t xml:space="preserve">, </w:t>
      </w:r>
      <w:r w:rsidRPr="000269BB">
        <w:rPr>
          <w:rFonts w:eastAsia="Roboto"/>
          <w:b/>
          <w:sz w:val="24"/>
          <w:szCs w:val="24"/>
        </w:rPr>
        <w:t>celeridad</w:t>
      </w:r>
      <w:r w:rsidRPr="000269BB">
        <w:rPr>
          <w:rFonts w:eastAsia="Roboto"/>
          <w:sz w:val="24"/>
          <w:szCs w:val="24"/>
        </w:rPr>
        <w:t xml:space="preserve">, </w:t>
      </w:r>
      <w:r w:rsidRPr="000269BB">
        <w:rPr>
          <w:rFonts w:eastAsia="Roboto"/>
          <w:b/>
          <w:sz w:val="24"/>
          <w:szCs w:val="24"/>
        </w:rPr>
        <w:t>imparcialidad</w:t>
      </w:r>
      <w:r w:rsidRPr="000269BB">
        <w:rPr>
          <w:rFonts w:eastAsia="Roboto"/>
          <w:sz w:val="24"/>
          <w:szCs w:val="24"/>
        </w:rPr>
        <w:t xml:space="preserve"> y </w:t>
      </w:r>
      <w:r w:rsidRPr="000269BB">
        <w:rPr>
          <w:rFonts w:eastAsia="Roboto"/>
          <w:b/>
          <w:sz w:val="24"/>
          <w:szCs w:val="24"/>
        </w:rPr>
        <w:t>máxima publicidad</w:t>
      </w:r>
      <w:r w:rsidRPr="000269BB">
        <w:rPr>
          <w:rFonts w:eastAsia="Roboto"/>
          <w:sz w:val="24"/>
          <w:szCs w:val="24"/>
        </w:rPr>
        <w:t>, asegurando que las partes tengan oportunidad de expresar sus argumentos en forma oral o escrita.</w:t>
      </w:r>
    </w:p>
    <w:p w14:paraId="55019FCC" w14:textId="77777777" w:rsidR="005860F6" w:rsidRDefault="00000000" w:rsidP="005860F6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Una vez presentado el recurso, </w:t>
      </w:r>
      <w:r w:rsidRPr="000269BB">
        <w:rPr>
          <w:rFonts w:eastAsia="Roboto"/>
          <w:b/>
          <w:sz w:val="24"/>
          <w:szCs w:val="24"/>
        </w:rPr>
        <w:t>Transparencia para Puebla y sus Municipios</w:t>
      </w:r>
      <w:r w:rsidRPr="000269BB">
        <w:rPr>
          <w:rFonts w:eastAsia="Roboto"/>
          <w:sz w:val="24"/>
          <w:szCs w:val="24"/>
        </w:rPr>
        <w:t xml:space="preserve"> analiza su procedencia en un plazo de </w:t>
      </w:r>
      <w:r w:rsidRPr="000269BB">
        <w:rPr>
          <w:rFonts w:eastAsia="Roboto"/>
          <w:b/>
          <w:sz w:val="24"/>
          <w:szCs w:val="24"/>
        </w:rPr>
        <w:t>tres días hábiles</w:t>
      </w:r>
      <w:r w:rsidRPr="000269BB">
        <w:rPr>
          <w:rFonts w:eastAsia="Roboto"/>
          <w:sz w:val="24"/>
          <w:szCs w:val="24"/>
        </w:rPr>
        <w:t xml:space="preserve">, para decretar su </w:t>
      </w:r>
      <w:r w:rsidRPr="000269BB">
        <w:rPr>
          <w:rFonts w:eastAsia="Roboto"/>
          <w:b/>
          <w:sz w:val="24"/>
          <w:szCs w:val="24"/>
        </w:rPr>
        <w:t>admisión o</w:t>
      </w:r>
      <w:r w:rsidR="005860F6">
        <w:rPr>
          <w:rFonts w:eastAsia="Roboto"/>
          <w:b/>
          <w:sz w:val="24"/>
          <w:szCs w:val="24"/>
        </w:rPr>
        <w:t xml:space="preserve"> </w:t>
      </w:r>
      <w:proofErr w:type="spellStart"/>
      <w:r w:rsidRPr="000269BB">
        <w:rPr>
          <w:rFonts w:eastAsia="Roboto"/>
          <w:b/>
          <w:sz w:val="24"/>
          <w:szCs w:val="24"/>
        </w:rPr>
        <w:t>desechamiento</w:t>
      </w:r>
      <w:proofErr w:type="spellEnd"/>
      <w:r w:rsidRPr="000269BB">
        <w:rPr>
          <w:rFonts w:eastAsia="Roboto"/>
          <w:sz w:val="24"/>
          <w:szCs w:val="24"/>
        </w:rPr>
        <w:t>.</w:t>
      </w:r>
      <w:r w:rsidR="005860F6">
        <w:rPr>
          <w:rFonts w:eastAsia="Roboto"/>
          <w:sz w:val="24"/>
          <w:szCs w:val="24"/>
        </w:rPr>
        <w:t xml:space="preserve">                                                                 </w:t>
      </w:r>
    </w:p>
    <w:p w14:paraId="04B756D4" w14:textId="2AF48FF1" w:rsidR="009E72C6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Admitido el recurso, se </w:t>
      </w:r>
      <w:r w:rsidRPr="000269BB">
        <w:rPr>
          <w:rFonts w:eastAsia="Roboto"/>
          <w:b/>
          <w:sz w:val="24"/>
          <w:szCs w:val="24"/>
        </w:rPr>
        <w:t>integra</w:t>
      </w:r>
      <w:r w:rsidR="00944A2B">
        <w:rPr>
          <w:rFonts w:eastAsia="Roboto"/>
          <w:b/>
          <w:sz w:val="24"/>
          <w:szCs w:val="24"/>
        </w:rPr>
        <w:t>rá</w:t>
      </w:r>
      <w:r w:rsidRPr="000269BB">
        <w:rPr>
          <w:rFonts w:eastAsia="Roboto"/>
          <w:b/>
          <w:sz w:val="24"/>
          <w:szCs w:val="24"/>
        </w:rPr>
        <w:t xml:space="preserve"> un expediente</w:t>
      </w:r>
      <w:r w:rsidRPr="000269BB">
        <w:rPr>
          <w:rFonts w:eastAsia="Roboto"/>
          <w:sz w:val="24"/>
          <w:szCs w:val="24"/>
        </w:rPr>
        <w:t xml:space="preserve"> y se notifica</w:t>
      </w:r>
      <w:r w:rsidR="00944A2B">
        <w:rPr>
          <w:rFonts w:eastAsia="Roboto"/>
          <w:sz w:val="24"/>
          <w:szCs w:val="24"/>
        </w:rPr>
        <w:t>rá</w:t>
      </w:r>
      <w:r w:rsidRPr="000269BB">
        <w:rPr>
          <w:rFonts w:eastAsia="Roboto"/>
          <w:sz w:val="24"/>
          <w:szCs w:val="24"/>
        </w:rPr>
        <w:t xml:space="preserve"> al </w:t>
      </w:r>
      <w:r w:rsidRPr="000269BB">
        <w:rPr>
          <w:rFonts w:eastAsia="Roboto"/>
          <w:b/>
          <w:sz w:val="24"/>
          <w:szCs w:val="24"/>
        </w:rPr>
        <w:t>sujeto obligado</w:t>
      </w:r>
      <w:r w:rsidRPr="000269BB">
        <w:rPr>
          <w:rFonts w:eastAsia="Roboto"/>
          <w:sz w:val="24"/>
          <w:szCs w:val="24"/>
        </w:rPr>
        <w:t xml:space="preserve"> para que, dentro de </w:t>
      </w:r>
      <w:r w:rsidRPr="000269BB">
        <w:rPr>
          <w:rFonts w:eastAsia="Roboto"/>
          <w:b/>
          <w:sz w:val="24"/>
          <w:szCs w:val="24"/>
        </w:rPr>
        <w:t>siete días hábiles</w:t>
      </w:r>
      <w:r w:rsidRPr="000269BB">
        <w:rPr>
          <w:rFonts w:eastAsia="Roboto"/>
          <w:sz w:val="24"/>
          <w:szCs w:val="24"/>
        </w:rPr>
        <w:t xml:space="preserve">, rinda un </w:t>
      </w:r>
      <w:r w:rsidRPr="000269BB">
        <w:rPr>
          <w:rFonts w:eastAsia="Roboto"/>
          <w:b/>
          <w:sz w:val="24"/>
          <w:szCs w:val="24"/>
        </w:rPr>
        <w:t>informe justificado</w:t>
      </w:r>
      <w:r w:rsidRPr="000269BB">
        <w:rPr>
          <w:rFonts w:eastAsia="Roboto"/>
          <w:sz w:val="24"/>
          <w:szCs w:val="24"/>
        </w:rPr>
        <w:t xml:space="preserve"> y acredite la legalidad de su actuación.</w:t>
      </w:r>
    </w:p>
    <w:p w14:paraId="0000001F" w14:textId="7D56D3E3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lastRenderedPageBreak/>
        <w:t xml:space="preserve">Durante este plazo, tanto el sujeto obligado como la persona recurrente podrán </w:t>
      </w:r>
      <w:r w:rsidRPr="000269BB">
        <w:rPr>
          <w:rFonts w:eastAsia="Roboto"/>
          <w:b/>
          <w:sz w:val="24"/>
          <w:szCs w:val="24"/>
        </w:rPr>
        <w:t xml:space="preserve">ofrecer pruebas excepto la confesional </w:t>
      </w:r>
      <w:r w:rsidR="009E72C6" w:rsidRPr="000269BB">
        <w:rPr>
          <w:rFonts w:eastAsia="Roboto"/>
          <w:b/>
          <w:sz w:val="24"/>
          <w:szCs w:val="24"/>
        </w:rPr>
        <w:t xml:space="preserve">por parte del sujeto obligado </w:t>
      </w:r>
      <w:r w:rsidRPr="000269BB">
        <w:rPr>
          <w:rFonts w:eastAsia="Roboto"/>
          <w:b/>
          <w:sz w:val="24"/>
          <w:szCs w:val="24"/>
        </w:rPr>
        <w:t>y formular alegatos</w:t>
      </w:r>
      <w:r w:rsidR="009E72C6" w:rsidRPr="000269BB">
        <w:rPr>
          <w:rFonts w:eastAsia="Roboto"/>
          <w:sz w:val="24"/>
          <w:szCs w:val="24"/>
        </w:rPr>
        <w:t>.</w:t>
      </w:r>
    </w:p>
    <w:p w14:paraId="125B5E2C" w14:textId="70D9DE82" w:rsidR="001C6158" w:rsidRPr="000269BB" w:rsidRDefault="009E72C6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bookmarkStart w:id="6" w:name="_6081ogexaht2" w:colFirst="0" w:colLast="0"/>
      <w:bookmarkEnd w:id="6"/>
      <w:r w:rsidRPr="000269BB">
        <w:rPr>
          <w:rFonts w:eastAsia="Roboto"/>
          <w:sz w:val="24"/>
          <w:szCs w:val="24"/>
        </w:rPr>
        <w:t xml:space="preserve">Una vez decretado el cierre de instrucción el recurso de revisión será </w:t>
      </w:r>
      <w:r w:rsidRPr="000269BB">
        <w:rPr>
          <w:rFonts w:eastAsia="Roboto"/>
          <w:b/>
          <w:sz w:val="24"/>
          <w:szCs w:val="24"/>
        </w:rPr>
        <w:t>resuelto dentro de los cuarenta días hábiles siguientes a su admisión</w:t>
      </w:r>
      <w:r w:rsidRPr="000269BB">
        <w:rPr>
          <w:rFonts w:eastAsia="Roboto"/>
          <w:sz w:val="24"/>
          <w:szCs w:val="24"/>
        </w:rPr>
        <w:t xml:space="preserve">, pudiendo ampliarse una sola vez por hasta </w:t>
      </w:r>
      <w:r w:rsidRPr="000269BB">
        <w:rPr>
          <w:rFonts w:eastAsia="Roboto"/>
          <w:b/>
          <w:sz w:val="24"/>
          <w:szCs w:val="24"/>
        </w:rPr>
        <w:t>veinte días hábiles adicionales</w:t>
      </w:r>
      <w:r w:rsidRPr="000269BB">
        <w:rPr>
          <w:rFonts w:eastAsia="Roboto"/>
          <w:sz w:val="24"/>
          <w:szCs w:val="24"/>
        </w:rPr>
        <w:t xml:space="preserve"> (artículo 156</w:t>
      </w:r>
      <w:r w:rsidR="00944A2B" w:rsidRPr="00944A2B">
        <w:t xml:space="preserve"> </w:t>
      </w:r>
      <w:r w:rsidR="00944A2B" w:rsidRPr="00944A2B">
        <w:rPr>
          <w:rFonts w:eastAsia="Roboto"/>
          <w:sz w:val="24"/>
          <w:szCs w:val="24"/>
        </w:rPr>
        <w:t>LTAIPEP</w:t>
      </w:r>
      <w:r w:rsidRPr="000269BB">
        <w:rPr>
          <w:rFonts w:eastAsia="Roboto"/>
          <w:sz w:val="24"/>
          <w:szCs w:val="24"/>
        </w:rPr>
        <w:t>).</w:t>
      </w:r>
      <w:r w:rsidRPr="000269BB">
        <w:rPr>
          <w:rFonts w:eastAsia="Roboto"/>
          <w:sz w:val="24"/>
          <w:szCs w:val="24"/>
        </w:rPr>
        <w:br/>
        <w:t xml:space="preserve"> </w:t>
      </w:r>
    </w:p>
    <w:p w14:paraId="00000030" w14:textId="2FC0C852" w:rsidR="009115A2" w:rsidRPr="000269BB" w:rsidRDefault="00000000">
      <w:p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Las resoluciones podrán </w:t>
      </w:r>
      <w:r w:rsidRPr="000269BB">
        <w:rPr>
          <w:rFonts w:eastAsia="Roboto"/>
          <w:b/>
          <w:sz w:val="24"/>
          <w:szCs w:val="24"/>
        </w:rPr>
        <w:t>confirmar, modificar</w:t>
      </w:r>
      <w:r w:rsidR="009E72C6" w:rsidRPr="000269BB">
        <w:rPr>
          <w:rFonts w:eastAsia="Roboto"/>
          <w:b/>
          <w:sz w:val="24"/>
          <w:szCs w:val="24"/>
        </w:rPr>
        <w:t xml:space="preserve"> o</w:t>
      </w:r>
      <w:r w:rsidRPr="000269BB">
        <w:rPr>
          <w:rFonts w:eastAsia="Roboto"/>
          <w:b/>
          <w:sz w:val="24"/>
          <w:szCs w:val="24"/>
        </w:rPr>
        <w:t xml:space="preserve"> revocar</w:t>
      </w:r>
      <w:r w:rsidR="009E72C6" w:rsidRPr="000269BB">
        <w:rPr>
          <w:rFonts w:eastAsia="Roboto"/>
          <w:b/>
          <w:sz w:val="24"/>
          <w:szCs w:val="24"/>
        </w:rPr>
        <w:t xml:space="preserve"> la respuesta del suj</w:t>
      </w:r>
      <w:r w:rsidR="005860F6">
        <w:rPr>
          <w:rFonts w:eastAsia="Roboto"/>
          <w:b/>
          <w:sz w:val="24"/>
          <w:szCs w:val="24"/>
        </w:rPr>
        <w:t>et</w:t>
      </w:r>
      <w:r w:rsidR="009E72C6" w:rsidRPr="000269BB">
        <w:rPr>
          <w:rFonts w:eastAsia="Roboto"/>
          <w:b/>
          <w:sz w:val="24"/>
          <w:szCs w:val="24"/>
        </w:rPr>
        <w:t xml:space="preserve">o obligado, o en su caso desechar </w:t>
      </w:r>
      <w:r w:rsidRPr="000269BB">
        <w:rPr>
          <w:rFonts w:eastAsia="Roboto"/>
          <w:b/>
          <w:sz w:val="24"/>
          <w:szCs w:val="24"/>
        </w:rPr>
        <w:t>o sobreseer</w:t>
      </w:r>
      <w:r w:rsidRPr="000269BB">
        <w:rPr>
          <w:rFonts w:eastAsia="Roboto"/>
          <w:sz w:val="24"/>
          <w:szCs w:val="24"/>
        </w:rPr>
        <w:t xml:space="preserve"> el </w:t>
      </w:r>
      <w:r w:rsidR="009E72C6" w:rsidRPr="000269BB">
        <w:rPr>
          <w:rFonts w:eastAsia="Roboto"/>
          <w:sz w:val="24"/>
          <w:szCs w:val="24"/>
        </w:rPr>
        <w:t>medio de impugnación</w:t>
      </w:r>
      <w:r w:rsidRPr="000269BB">
        <w:rPr>
          <w:rFonts w:eastAsia="Roboto"/>
          <w:sz w:val="24"/>
          <w:szCs w:val="24"/>
        </w:rPr>
        <w:t>, según los supuestos establecidos en los artículos 162</w:t>
      </w:r>
      <w:r w:rsidR="00944A2B">
        <w:rPr>
          <w:rFonts w:eastAsia="Roboto"/>
          <w:sz w:val="24"/>
          <w:szCs w:val="24"/>
        </w:rPr>
        <w:t xml:space="preserve">, 163 y </w:t>
      </w:r>
      <w:r w:rsidRPr="000269BB">
        <w:rPr>
          <w:rFonts w:eastAsia="Roboto"/>
          <w:sz w:val="24"/>
          <w:szCs w:val="24"/>
        </w:rPr>
        <w:t>164 de la LTAIPEP.</w:t>
      </w:r>
    </w:p>
    <w:p w14:paraId="00000031" w14:textId="77777777" w:rsidR="009115A2" w:rsidRPr="000269BB" w:rsidRDefault="00000000">
      <w:pPr>
        <w:pStyle w:val="Ttulo3"/>
        <w:keepNext w:val="0"/>
        <w:keepLines w:val="0"/>
        <w:spacing w:before="280" w:after="200" w:line="360" w:lineRule="auto"/>
        <w:jc w:val="center"/>
        <w:rPr>
          <w:rFonts w:eastAsia="Roboto"/>
          <w:b/>
          <w:color w:val="000000"/>
          <w:sz w:val="24"/>
          <w:szCs w:val="24"/>
        </w:rPr>
      </w:pPr>
      <w:bookmarkStart w:id="7" w:name="_btimdypgggeq" w:colFirst="0" w:colLast="0"/>
      <w:bookmarkEnd w:id="7"/>
      <w:r w:rsidRPr="000269BB">
        <w:rPr>
          <w:rFonts w:eastAsia="Roboto"/>
          <w:b/>
          <w:color w:val="000000"/>
          <w:sz w:val="24"/>
          <w:szCs w:val="24"/>
        </w:rPr>
        <w:t>FUNDAMENTO LEGAL</w:t>
      </w:r>
    </w:p>
    <w:p w14:paraId="5A4B3FFE" w14:textId="7B4E7D30" w:rsidR="001C6158" w:rsidRPr="000269BB" w:rsidRDefault="001C6158" w:rsidP="0055225B">
      <w:pPr>
        <w:numPr>
          <w:ilvl w:val="0"/>
          <w:numId w:val="1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Principios previstos en </w:t>
      </w:r>
      <w:r w:rsidR="0055225B" w:rsidRPr="000269BB">
        <w:rPr>
          <w:rFonts w:eastAsia="Roboto"/>
          <w:sz w:val="24"/>
          <w:szCs w:val="24"/>
        </w:rPr>
        <w:t>el</w:t>
      </w:r>
      <w:r w:rsidRPr="000269BB">
        <w:rPr>
          <w:rFonts w:eastAsia="Roboto"/>
          <w:sz w:val="24"/>
          <w:szCs w:val="24"/>
        </w:rPr>
        <w:t xml:space="preserve"> artículo </w:t>
      </w:r>
      <w:r w:rsidRPr="000269BB">
        <w:rPr>
          <w:rFonts w:eastAsia="Roboto"/>
          <w:b/>
          <w:sz w:val="24"/>
          <w:szCs w:val="24"/>
        </w:rPr>
        <w:t>6 de la Constitución Política de los Estados Unidos Mexicanos</w:t>
      </w:r>
      <w:r w:rsidRPr="000269BB">
        <w:rPr>
          <w:rFonts w:eastAsia="Roboto"/>
          <w:sz w:val="24"/>
          <w:szCs w:val="24"/>
        </w:rPr>
        <w:t>.</w:t>
      </w:r>
    </w:p>
    <w:p w14:paraId="3C5DE778" w14:textId="77777777" w:rsidR="0055225B" w:rsidRPr="000269BB" w:rsidRDefault="0055225B" w:rsidP="0055225B">
      <w:pPr>
        <w:numPr>
          <w:ilvl w:val="0"/>
          <w:numId w:val="1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Principios previstos en el artículo 12 de la Constitución Política para el Estado Libre y Soberano de Puebla </w:t>
      </w:r>
    </w:p>
    <w:p w14:paraId="00000032" w14:textId="2984B9C0" w:rsidR="009115A2" w:rsidRPr="000269BB" w:rsidRDefault="00000000" w:rsidP="0055225B">
      <w:pPr>
        <w:numPr>
          <w:ilvl w:val="0"/>
          <w:numId w:val="1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bookmarkStart w:id="8" w:name="_Hlk210813688"/>
      <w:r w:rsidRPr="000269BB">
        <w:rPr>
          <w:rFonts w:eastAsia="Roboto"/>
          <w:sz w:val="24"/>
          <w:szCs w:val="24"/>
        </w:rPr>
        <w:t xml:space="preserve">Artículos </w:t>
      </w:r>
      <w:r w:rsidRPr="000269BB">
        <w:rPr>
          <w:rFonts w:eastAsia="Roboto"/>
          <w:b/>
          <w:sz w:val="24"/>
          <w:szCs w:val="24"/>
        </w:rPr>
        <w:t>1, 3</w:t>
      </w:r>
      <w:r w:rsidR="0055225B" w:rsidRPr="000269BB">
        <w:rPr>
          <w:rFonts w:eastAsia="Roboto"/>
          <w:b/>
          <w:sz w:val="24"/>
          <w:szCs w:val="24"/>
        </w:rPr>
        <w:t>4, 35 y</w:t>
      </w:r>
      <w:r w:rsidRPr="000269BB">
        <w:rPr>
          <w:rFonts w:eastAsia="Roboto"/>
          <w:b/>
          <w:sz w:val="24"/>
          <w:szCs w:val="24"/>
        </w:rPr>
        <w:t xml:space="preserve"> 1</w:t>
      </w:r>
      <w:r w:rsidR="00063404" w:rsidRPr="000269BB">
        <w:rPr>
          <w:rFonts w:eastAsia="Roboto"/>
          <w:b/>
          <w:sz w:val="24"/>
          <w:szCs w:val="24"/>
        </w:rPr>
        <w:t>44</w:t>
      </w:r>
      <w:r w:rsidRPr="000269BB">
        <w:rPr>
          <w:rFonts w:eastAsia="Roboto"/>
          <w:b/>
          <w:sz w:val="24"/>
          <w:szCs w:val="24"/>
        </w:rPr>
        <w:t xml:space="preserve"> al 16</w:t>
      </w:r>
      <w:r w:rsidR="00063404" w:rsidRPr="000269BB">
        <w:rPr>
          <w:rFonts w:eastAsia="Roboto"/>
          <w:b/>
          <w:sz w:val="24"/>
          <w:szCs w:val="24"/>
        </w:rPr>
        <w:t>1</w:t>
      </w:r>
      <w:r w:rsidRPr="000269BB">
        <w:rPr>
          <w:rFonts w:eastAsia="Roboto"/>
          <w:sz w:val="24"/>
          <w:szCs w:val="24"/>
        </w:rPr>
        <w:t xml:space="preserve"> de la </w:t>
      </w:r>
      <w:bookmarkStart w:id="9" w:name="_Hlk210827017"/>
      <w:r w:rsidR="0055225B" w:rsidRPr="000269BB">
        <w:rPr>
          <w:rFonts w:eastAsia="Roboto"/>
          <w:b/>
          <w:sz w:val="24"/>
          <w:szCs w:val="24"/>
        </w:rPr>
        <w:t>Ley General de Transparencia y Acceso a la Información Pública</w:t>
      </w:r>
      <w:bookmarkEnd w:id="9"/>
      <w:r w:rsidRPr="000269BB">
        <w:rPr>
          <w:rFonts w:eastAsia="Roboto"/>
          <w:sz w:val="24"/>
          <w:szCs w:val="24"/>
        </w:rPr>
        <w:t>.</w:t>
      </w:r>
    </w:p>
    <w:bookmarkEnd w:id="8"/>
    <w:p w14:paraId="1BCC8D25" w14:textId="23BA80F4" w:rsidR="0055225B" w:rsidRPr="000269BB" w:rsidRDefault="0055225B" w:rsidP="0055225B">
      <w:pPr>
        <w:numPr>
          <w:ilvl w:val="0"/>
          <w:numId w:val="1"/>
        </w:numPr>
        <w:spacing w:before="240"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 xml:space="preserve">Artículos </w:t>
      </w:r>
      <w:r w:rsidRPr="000269BB">
        <w:rPr>
          <w:rFonts w:eastAsia="Roboto"/>
          <w:b/>
          <w:sz w:val="24"/>
          <w:szCs w:val="24"/>
        </w:rPr>
        <w:t>1, 3, 8</w:t>
      </w:r>
      <w:r w:rsidR="00944A2B">
        <w:rPr>
          <w:rFonts w:eastAsia="Roboto"/>
          <w:b/>
          <w:sz w:val="24"/>
          <w:szCs w:val="24"/>
        </w:rPr>
        <w:t xml:space="preserve"> </w:t>
      </w:r>
      <w:r w:rsidRPr="000269BB">
        <w:rPr>
          <w:rFonts w:eastAsia="Roboto"/>
          <w:b/>
          <w:sz w:val="24"/>
          <w:szCs w:val="24"/>
        </w:rPr>
        <w:t>fracción XXXI</w:t>
      </w:r>
      <w:r w:rsidR="00063404" w:rsidRPr="000269BB">
        <w:rPr>
          <w:rFonts w:eastAsia="Roboto"/>
          <w:b/>
          <w:sz w:val="24"/>
          <w:szCs w:val="24"/>
        </w:rPr>
        <w:t xml:space="preserve"> y</w:t>
      </w:r>
      <w:r w:rsidRPr="000269BB">
        <w:rPr>
          <w:rFonts w:eastAsia="Roboto"/>
          <w:b/>
          <w:sz w:val="24"/>
          <w:szCs w:val="24"/>
        </w:rPr>
        <w:t xml:space="preserve"> 152 al 164</w:t>
      </w:r>
      <w:r w:rsidRPr="000269BB">
        <w:rPr>
          <w:rFonts w:eastAsia="Roboto"/>
          <w:sz w:val="24"/>
          <w:szCs w:val="24"/>
        </w:rPr>
        <w:t xml:space="preserve"> de la </w:t>
      </w:r>
      <w:r w:rsidRPr="000269BB">
        <w:rPr>
          <w:rFonts w:eastAsia="Roboto"/>
          <w:b/>
          <w:sz w:val="24"/>
          <w:szCs w:val="24"/>
        </w:rPr>
        <w:t>Ley de Transparencia y Acceso a la Información Pública del Estado de Puebla</w:t>
      </w:r>
      <w:r w:rsidRPr="000269BB">
        <w:rPr>
          <w:rFonts w:eastAsia="Roboto"/>
          <w:sz w:val="24"/>
          <w:szCs w:val="24"/>
        </w:rPr>
        <w:t>.</w:t>
      </w:r>
    </w:p>
    <w:p w14:paraId="00000033" w14:textId="468871FF" w:rsidR="009115A2" w:rsidRPr="000269BB" w:rsidRDefault="00000000" w:rsidP="0055225B">
      <w:pPr>
        <w:numPr>
          <w:ilvl w:val="0"/>
          <w:numId w:val="1"/>
        </w:numPr>
        <w:spacing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>L</w:t>
      </w:r>
      <w:r w:rsidR="00063404" w:rsidRPr="000269BB">
        <w:rPr>
          <w:rFonts w:eastAsia="Roboto"/>
          <w:sz w:val="24"/>
          <w:szCs w:val="24"/>
        </w:rPr>
        <w:t xml:space="preserve">as demás </w:t>
      </w:r>
      <w:r w:rsidRPr="000269BB">
        <w:rPr>
          <w:rFonts w:eastAsia="Roboto"/>
          <w:sz w:val="24"/>
          <w:szCs w:val="24"/>
        </w:rPr>
        <w:t xml:space="preserve">disposiciones </w:t>
      </w:r>
      <w:r w:rsidR="001C6158" w:rsidRPr="000269BB">
        <w:rPr>
          <w:rFonts w:eastAsia="Roboto"/>
          <w:sz w:val="24"/>
          <w:szCs w:val="24"/>
        </w:rPr>
        <w:t>que emita</w:t>
      </w:r>
      <w:r w:rsidRPr="000269BB">
        <w:rPr>
          <w:rFonts w:eastAsia="Roboto"/>
          <w:sz w:val="24"/>
          <w:szCs w:val="24"/>
        </w:rPr>
        <w:t xml:space="preserve"> </w:t>
      </w:r>
      <w:r w:rsidRPr="000269BB">
        <w:rPr>
          <w:rFonts w:eastAsia="Roboto"/>
          <w:b/>
          <w:sz w:val="24"/>
          <w:szCs w:val="24"/>
        </w:rPr>
        <w:t>Transparencia para Puebla y sus Municipios</w:t>
      </w:r>
      <w:r w:rsidRPr="000269BB">
        <w:rPr>
          <w:rFonts w:eastAsia="Roboto"/>
          <w:sz w:val="24"/>
          <w:szCs w:val="24"/>
        </w:rPr>
        <w:t xml:space="preserve"> para la substanciación y resolución del recurso de revisión.</w:t>
      </w:r>
    </w:p>
    <w:p w14:paraId="298B050E" w14:textId="77777777" w:rsidR="00EC64B3" w:rsidRPr="000269BB" w:rsidRDefault="00EC64B3" w:rsidP="00EC64B3">
      <w:pPr>
        <w:spacing w:after="200" w:line="360" w:lineRule="auto"/>
        <w:jc w:val="both"/>
        <w:rPr>
          <w:rFonts w:eastAsia="Roboto"/>
          <w:sz w:val="24"/>
          <w:szCs w:val="24"/>
        </w:rPr>
      </w:pPr>
    </w:p>
    <w:p w14:paraId="23AA208B" w14:textId="6A5299D4" w:rsidR="00EC64B3" w:rsidRPr="000269BB" w:rsidRDefault="00EC64B3" w:rsidP="00EC64B3">
      <w:pPr>
        <w:spacing w:after="200" w:line="360" w:lineRule="auto"/>
        <w:jc w:val="center"/>
        <w:rPr>
          <w:rFonts w:eastAsia="Roboto"/>
          <w:b/>
          <w:bCs/>
          <w:sz w:val="24"/>
          <w:szCs w:val="24"/>
        </w:rPr>
      </w:pPr>
      <w:r w:rsidRPr="000269BB">
        <w:rPr>
          <w:rFonts w:eastAsia="Roboto"/>
          <w:b/>
          <w:bCs/>
          <w:sz w:val="24"/>
          <w:szCs w:val="24"/>
        </w:rPr>
        <w:t>AVISO DE PRIVACIDAD.</w:t>
      </w:r>
    </w:p>
    <w:p w14:paraId="00000036" w14:textId="0820B87F" w:rsidR="009115A2" w:rsidRPr="000269BB" w:rsidRDefault="00EC64B3">
      <w:pPr>
        <w:spacing w:after="200" w:line="360" w:lineRule="auto"/>
        <w:jc w:val="both"/>
        <w:rPr>
          <w:rFonts w:eastAsia="Roboto"/>
          <w:sz w:val="24"/>
          <w:szCs w:val="24"/>
        </w:rPr>
      </w:pPr>
      <w:r w:rsidRPr="000269BB">
        <w:rPr>
          <w:rFonts w:eastAsia="Roboto"/>
          <w:sz w:val="24"/>
          <w:szCs w:val="24"/>
        </w:rPr>
        <w:t>El aviso de privacidad puede ser consultado a través de la siguiente liga electrónica:</w:t>
      </w:r>
    </w:p>
    <w:sectPr w:rsidR="009115A2" w:rsidRPr="000269BB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0B3A4A9F-721D-4A94-A28B-76167322CC10}"/>
    <w:embedBold r:id="rId2" w:fontKey="{6A01BF96-6661-484B-B48C-53DC38D3B81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CBDA6C34-A962-463A-BC1D-DDC9A8AD32B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6429F84A-501A-41D9-BDE7-4B2B9DFD120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475054"/>
    <w:multiLevelType w:val="hybridMultilevel"/>
    <w:tmpl w:val="FB4E9BA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FD606ED"/>
    <w:multiLevelType w:val="multilevel"/>
    <w:tmpl w:val="C0F86EB8"/>
    <w:lvl w:ilvl="0">
      <w:start w:val="1"/>
      <w:numFmt w:val="upperRoman"/>
      <w:lvlText w:val="%1."/>
      <w:lvlJc w:val="righ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Letter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Roman"/>
      <w:lvlText w:val="(%7)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(%8)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(%9)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22FB36C3"/>
    <w:multiLevelType w:val="multilevel"/>
    <w:tmpl w:val="3692EC3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4C849A8"/>
    <w:multiLevelType w:val="multilevel"/>
    <w:tmpl w:val="D52C91AC"/>
    <w:lvl w:ilvl="0">
      <w:start w:val="1"/>
      <w:numFmt w:val="upperRoman"/>
      <w:lvlText w:val="%1."/>
      <w:lvlJc w:val="righ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Letter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Roman"/>
      <w:lvlText w:val="(%7)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(%8)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(%9)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65497D18"/>
    <w:multiLevelType w:val="multilevel"/>
    <w:tmpl w:val="95E4F0F0"/>
    <w:lvl w:ilvl="0">
      <w:start w:val="1"/>
      <w:numFmt w:val="upperRoman"/>
      <w:lvlText w:val="%1."/>
      <w:lvlJc w:val="righ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Letter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Roman"/>
      <w:lvlText w:val="(%7)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(%8)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(%9)"/>
      <w:lvlJc w:val="right"/>
      <w:pPr>
        <w:ind w:left="6480" w:hanging="360"/>
      </w:pPr>
      <w:rPr>
        <w:u w:val="none"/>
      </w:rPr>
    </w:lvl>
  </w:abstractNum>
  <w:num w:numId="1" w16cid:durableId="2074085913">
    <w:abstractNumId w:val="4"/>
  </w:num>
  <w:num w:numId="2" w16cid:durableId="124080759">
    <w:abstractNumId w:val="3"/>
  </w:num>
  <w:num w:numId="3" w16cid:durableId="2033727859">
    <w:abstractNumId w:val="1"/>
  </w:num>
  <w:num w:numId="4" w16cid:durableId="1582523965">
    <w:abstractNumId w:val="0"/>
  </w:num>
  <w:num w:numId="5" w16cid:durableId="75047016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15A2"/>
    <w:rsid w:val="000269BB"/>
    <w:rsid w:val="00053B59"/>
    <w:rsid w:val="00063404"/>
    <w:rsid w:val="001C0D43"/>
    <w:rsid w:val="001C6158"/>
    <w:rsid w:val="0029009A"/>
    <w:rsid w:val="0055225B"/>
    <w:rsid w:val="005860F6"/>
    <w:rsid w:val="00630CF4"/>
    <w:rsid w:val="007C22D3"/>
    <w:rsid w:val="008B4D94"/>
    <w:rsid w:val="009115A2"/>
    <w:rsid w:val="00940946"/>
    <w:rsid w:val="00944A2B"/>
    <w:rsid w:val="009E2FD9"/>
    <w:rsid w:val="009E72C6"/>
    <w:rsid w:val="00AA6894"/>
    <w:rsid w:val="00BE1017"/>
    <w:rsid w:val="00C4142A"/>
    <w:rsid w:val="00EC26E5"/>
    <w:rsid w:val="00EC64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16A6F9"/>
  <w15:docId w15:val="{C181C189-C38D-4C99-B516-E8BE2FABF5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419" w:eastAsia="es-MX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Prrafodelista">
    <w:name w:val="List Paragraph"/>
    <w:basedOn w:val="Normal"/>
    <w:uiPriority w:val="34"/>
    <w:qFormat/>
    <w:rsid w:val="00EC26E5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1C6158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1C615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hyperlink" Target="https://www.itaipue.org.mx/portal2020/recursoRevision.php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4</Pages>
  <Words>868</Words>
  <Characters>4777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Héctor Berra Piloni</dc:creator>
  <cp:lastModifiedBy>Héctor Berra Piloni</cp:lastModifiedBy>
  <cp:revision>10</cp:revision>
  <cp:lastPrinted>2025-10-08T22:16:00Z</cp:lastPrinted>
  <dcterms:created xsi:type="dcterms:W3CDTF">2025-10-08T17:06:00Z</dcterms:created>
  <dcterms:modified xsi:type="dcterms:W3CDTF">2025-10-21T16:16:00Z</dcterms:modified>
</cp:coreProperties>
</file>